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Gregory-Justin; house of Parker</w:t>
      </w:r>
    </w:p>
    <w:p w:rsidR="00000000" w:rsidDel="00000000" w:rsidP="00000000" w:rsidRDefault="00000000" w:rsidRPr="00000000" w14:paraId="0000000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 270 McCarty Rd.</w:t>
      </w:r>
    </w:p>
    <w:p w:rsidR="00000000" w:rsidDel="00000000" w:rsidP="00000000" w:rsidRDefault="00000000" w:rsidRPr="00000000" w14:paraId="0000000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Chickamauga, GA</w:t>
      </w:r>
    </w:p>
    <w:p w:rsidR="00000000" w:rsidDel="00000000" w:rsidP="00000000" w:rsidRDefault="00000000" w:rsidRPr="00000000" w14:paraId="0000000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OF TENNESSEE</w:t>
      </w:r>
    </w:p>
    <w:p w:rsidR="00000000" w:rsidDel="00000000" w:rsidP="00000000" w:rsidRDefault="00000000" w:rsidRPr="00000000" w14:paraId="0000000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County of Hamilton</w:t>
      </w:r>
    </w:p>
    <w:p w:rsidR="00000000" w:rsidDel="00000000" w:rsidP="00000000" w:rsidRDefault="00000000" w:rsidRPr="00000000" w14:paraId="0000000B">
      <w:pPr>
        <w:spacing w:line="240" w:lineRule="auto"/>
        <w:jc w:val="both"/>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2.542372881356"/>
        <w:gridCol w:w="414.2372881355932"/>
        <w:gridCol w:w="4433.22033898305"/>
        <w:tblGridChange w:id="0">
          <w:tblGrid>
            <w:gridCol w:w="4512.542372881356"/>
            <w:gridCol w:w="414.2372881355932"/>
            <w:gridCol w:w="4433.22033898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ab/>
              <w:tab/>
              <w:tab/>
            </w:r>
          </w:p>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State of TENNESSEE” </w:t>
            </w:r>
          </w:p>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aka John Andrew Doub</w:t>
            </w:r>
            <w:r w:rsidDel="00000000" w:rsidR="00000000" w:rsidRPr="00000000">
              <w:rPr>
                <w:rtl w:val="0"/>
              </w:rPr>
            </w:r>
          </w:p>
          <w:p w:rsidR="00000000" w:rsidDel="00000000" w:rsidP="00000000" w:rsidRDefault="00000000" w:rsidRPr="00000000" w14:paraId="0000000F">
            <w:pPr>
              <w:widowControl w:val="0"/>
              <w:rPr/>
            </w:pPr>
            <w:r w:rsidDel="00000000" w:rsidR="00000000" w:rsidRPr="00000000">
              <w:rPr>
                <w:rtl w:val="0"/>
              </w:rPr>
              <w:tab/>
              <w:tab/>
              <w:tab/>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plaintiff,</w:t>
            </w:r>
          </w:p>
          <w:p w:rsidR="00000000" w:rsidDel="00000000" w:rsidP="00000000" w:rsidRDefault="00000000" w:rsidRPr="00000000" w14:paraId="00000011">
            <w:pPr>
              <w:rPr/>
            </w:pPr>
            <w:r w:rsidDel="00000000" w:rsidR="00000000" w:rsidRPr="00000000">
              <w:rPr>
                <w:rtl w:val="0"/>
              </w:rPr>
              <w:tab/>
              <w:tab/>
              <w:tab/>
            </w:r>
          </w:p>
          <w:p w:rsidR="00000000" w:rsidDel="00000000" w:rsidP="00000000" w:rsidRDefault="00000000" w:rsidRPr="00000000" w14:paraId="0000001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vs.</w:t>
            </w:r>
          </w:p>
          <w:p w:rsidR="00000000" w:rsidDel="00000000" w:rsidP="00000000" w:rsidRDefault="00000000" w:rsidRPr="00000000" w14:paraId="00000013">
            <w:pPr>
              <w:widowControl w:val="0"/>
              <w:rPr/>
            </w:pPr>
            <w:r w:rsidDel="00000000" w:rsidR="00000000" w:rsidRPr="00000000">
              <w:rPr>
                <w:rtl w:val="0"/>
              </w:rPr>
              <w:tab/>
              <w:tab/>
              <w:tab/>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GREGORY PARKER</w:t>
            </w:r>
          </w:p>
          <w:p w:rsidR="00000000" w:rsidDel="00000000" w:rsidP="00000000" w:rsidRDefault="00000000" w:rsidRPr="00000000" w14:paraId="00000015">
            <w:pPr>
              <w:rPr/>
            </w:pPr>
            <w:r w:rsidDel="00000000" w:rsidR="00000000" w:rsidRPr="00000000">
              <w:rPr>
                <w:rtl w:val="0"/>
              </w:rPr>
              <w:tab/>
              <w:tab/>
              <w:tab/>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defendant</w:t>
            </w:r>
          </w:p>
          <w:p w:rsidR="00000000" w:rsidDel="00000000" w:rsidP="00000000" w:rsidRDefault="00000000" w:rsidRPr="00000000" w14:paraId="00000017">
            <w:pPr>
              <w:rPr/>
            </w:pPr>
            <w:r w:rsidDel="00000000" w:rsidR="00000000" w:rsidRPr="00000000">
              <w:rPr>
                <w:rtl w:val="0"/>
              </w:rPr>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pPr>
            <w:r w:rsidDel="00000000" w:rsidR="00000000" w:rsidRPr="00000000">
              <w:rPr>
                <w:rtl w:val="0"/>
              </w:rPr>
              <w:t xml:space="preserve">)</w:t>
              <w:tab/>
              <w:t xml:space="preserve">)</w:t>
              <w:tab/>
              <w:t xml:space="preserve">)</w:t>
              <w:tab/>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A">
            <w:pPr>
              <w:rPr/>
            </w:pPr>
            <w:r w:rsidDel="00000000" w:rsidR="00000000" w:rsidRPr="00000000">
              <w:rPr>
                <w:rtl w:val="0"/>
              </w:rPr>
              <w:tab/>
              <w:tab/>
              <w:tab/>
              <w:tab/>
              <w:tab/>
              <w:t xml:space="preserve">)</w:t>
            </w:r>
          </w:p>
          <w:p w:rsidR="00000000" w:rsidDel="00000000" w:rsidP="00000000" w:rsidRDefault="00000000" w:rsidRPr="00000000" w14:paraId="0000001B">
            <w:pPr>
              <w:rPr/>
            </w:pPr>
            <w:r w:rsidDel="00000000" w:rsidR="00000000" w:rsidRPr="00000000">
              <w:rPr>
                <w:rtl w:val="0"/>
              </w:rPr>
              <w:t xml:space="preserve">)</w:t>
              <w:tab/>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rPr/>
            </w:pPr>
            <w:r w:rsidDel="00000000" w:rsidR="00000000" w:rsidRPr="00000000">
              <w:rPr>
                <w:rtl w:val="0"/>
              </w:rPr>
              <w:t xml:space="preserv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pPr>
            <w:r w:rsidDel="00000000" w:rsidR="00000000" w:rsidRPr="00000000">
              <w:rPr>
                <w:rtl w:val="0"/>
              </w:rPr>
              <w:tab/>
              <w:tab/>
              <w:tab/>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Case #308454</w:t>
            </w:r>
          </w:p>
          <w:p w:rsidR="00000000" w:rsidDel="00000000" w:rsidP="00000000" w:rsidRDefault="00000000" w:rsidRPr="00000000" w14:paraId="00000020">
            <w:pPr>
              <w:rPr/>
            </w:pPr>
            <w:r w:rsidDel="00000000" w:rsidR="00000000" w:rsidRPr="00000000">
              <w:rPr>
                <w:rtl w:val="0"/>
              </w:rPr>
              <w:tab/>
              <w:tab/>
              <w:tab/>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ab/>
              <w:tab/>
              <w:tab/>
            </w:r>
          </w:p>
          <w:p w:rsidR="00000000" w:rsidDel="00000000" w:rsidP="00000000" w:rsidRDefault="00000000" w:rsidRPr="00000000" w14:paraId="00000023">
            <w:pPr>
              <w:rPr/>
            </w:pPr>
            <w:r w:rsidDel="00000000" w:rsidR="00000000" w:rsidRPr="00000000">
              <w:rPr>
                <w:rtl w:val="0"/>
              </w:rPr>
              <w:tab/>
              <w:tab/>
              <w:tab/>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ab/>
              <w:tab/>
              <w:tab/>
            </w:r>
          </w:p>
          <w:p w:rsidR="00000000" w:rsidDel="00000000" w:rsidP="00000000" w:rsidRDefault="00000000" w:rsidRPr="00000000" w14:paraId="00000026">
            <w:pPr>
              <w:rPr/>
            </w:pPr>
            <w:r w:rsidDel="00000000" w:rsidR="00000000" w:rsidRPr="00000000">
              <w:rPr>
                <w:rtl w:val="0"/>
              </w:rPr>
              <w:tab/>
              <w:tab/>
              <w:tab/>
            </w:r>
          </w:p>
          <w:p w:rsidR="00000000" w:rsidDel="00000000" w:rsidP="00000000" w:rsidRDefault="00000000" w:rsidRPr="00000000" w14:paraId="0000002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to strike/dismiss complaint and request for full finding of fact and conclusions of law</w:t>
            </w:r>
          </w:p>
          <w:p w:rsidR="00000000" w:rsidDel="00000000" w:rsidP="00000000" w:rsidRDefault="00000000" w:rsidRPr="00000000" w14:paraId="00000028">
            <w:pPr>
              <w:rPr/>
            </w:pPr>
            <w:r w:rsidDel="00000000" w:rsidR="00000000" w:rsidRPr="00000000">
              <w:rPr>
                <w:rtl w:val="0"/>
              </w:rPr>
              <w:tab/>
              <w:tab/>
            </w:r>
          </w:p>
        </w:tc>
      </w:tr>
    </w:tbl>
    <w:p w:rsidR="00000000" w:rsidDel="00000000" w:rsidP="00000000" w:rsidRDefault="00000000" w:rsidRPr="00000000" w14:paraId="0000002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A">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Comes Gregory-Justin; house of  Parker, alleged defendant, by special appearance, not submitting to the court’s jurisdiction, who hereby moves this court to strike/dismiss the complaint filed by John Andrew Doub, for failure to present a cause of action or crime. Failure to present the court a case deprives the court of jurisdiction. Grounds are further set forth below. The court is further requested to provide a full findings of fact and conclusions of law if the court denies this motion. Just saying “it doesn’t apply” is not sufficient grounds to deny this motion.</w:t>
      </w:r>
    </w:p>
    <w:p w:rsidR="00000000" w:rsidDel="00000000" w:rsidP="00000000" w:rsidRDefault="00000000" w:rsidRPr="00000000" w14:paraId="0000002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Because some courts refuse to disclose the nature of the proceedings, this motion covers both civil and criminal. If deemed to be civil, the criminal parts may be ignored and vice-versa.</w:t>
      </w:r>
    </w:p>
    <w:p w:rsidR="00000000" w:rsidDel="00000000" w:rsidP="00000000" w:rsidRDefault="00000000" w:rsidRPr="00000000" w14:paraId="0000002C">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w:t>
      </w:r>
      <w:r w:rsidDel="00000000" w:rsidR="00000000" w:rsidRPr="00000000">
        <w:rPr>
          <w:rFonts w:ascii="Times New Roman" w:cs="Times New Roman" w:eastAsia="Times New Roman" w:hAnsi="Times New Roman"/>
          <w:u w:val="single"/>
          <w:rtl w:val="0"/>
        </w:rPr>
        <w:t xml:space="preserve">No case, crime or cause of action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is why to have a case or cause of action; a plaintiff must plead the violation of a legal right:</w:t>
      </w:r>
    </w:p>
    <w:p w:rsidR="00000000" w:rsidDel="00000000" w:rsidP="00000000" w:rsidRDefault="00000000" w:rsidRPr="00000000" w14:paraId="0000002F">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the duty of this court, as of </w:t>
      </w:r>
      <w:r w:rsidDel="00000000" w:rsidR="00000000" w:rsidRPr="00000000">
        <w:rPr>
          <w:rFonts w:ascii="Times New Roman" w:cs="Times New Roman" w:eastAsia="Times New Roman" w:hAnsi="Times New Roman"/>
          <w:b w:val="1"/>
          <w:i w:val="1"/>
          <w:rtl w:val="0"/>
        </w:rPr>
        <w:t xml:space="preserve">every judicial tribunal</w:t>
      </w:r>
      <w:r w:rsidDel="00000000" w:rsidR="00000000" w:rsidRPr="00000000">
        <w:rPr>
          <w:rFonts w:ascii="Times New Roman" w:cs="Times New Roman" w:eastAsia="Times New Roman" w:hAnsi="Times New Roman"/>
          <w:rtl w:val="0"/>
        </w:rPr>
        <w:t xml:space="preserve">, is limited to </w:t>
      </w:r>
      <w:r w:rsidDel="00000000" w:rsidR="00000000" w:rsidRPr="00000000">
        <w:rPr>
          <w:rFonts w:ascii="Times New Roman" w:cs="Times New Roman" w:eastAsia="Times New Roman" w:hAnsi="Times New Roman"/>
          <w:b w:val="1"/>
          <w:i w:val="1"/>
          <w:rtl w:val="0"/>
        </w:rPr>
        <w:t xml:space="preserve">determining rights</w:t>
      </w:r>
      <w:r w:rsidDel="00000000" w:rsidR="00000000" w:rsidRPr="00000000">
        <w:rPr>
          <w:rFonts w:ascii="Times New Roman" w:cs="Times New Roman" w:eastAsia="Times New Roman" w:hAnsi="Times New Roman"/>
          <w:rtl w:val="0"/>
        </w:rPr>
        <w:t xml:space="preserve"> of persons or of property, which are actually controverted in the particular case before it.” </w:t>
      </w:r>
      <w:r w:rsidDel="00000000" w:rsidR="00000000" w:rsidRPr="00000000">
        <w:rPr>
          <w:rFonts w:ascii="Times New Roman" w:cs="Times New Roman" w:eastAsia="Times New Roman" w:hAnsi="Times New Roman"/>
          <w:u w:val="single"/>
          <w:rtl w:val="0"/>
        </w:rPr>
        <w:t xml:space="preserve">Tyler v. Judges of the Court of Registration</w:t>
      </w:r>
      <w:r w:rsidDel="00000000" w:rsidR="00000000" w:rsidRPr="00000000">
        <w:rPr>
          <w:rFonts w:ascii="Times New Roman" w:cs="Times New Roman" w:eastAsia="Times New Roman" w:hAnsi="Times New Roman"/>
          <w:rtl w:val="0"/>
        </w:rPr>
        <w:t xml:space="preserve">, 179 U.S. 405, 21 SCt. 206, 208.</w:t>
      </w:r>
    </w:p>
    <w:p w:rsidR="00000000" w:rsidDel="00000000" w:rsidP="00000000" w:rsidRDefault="00000000" w:rsidRPr="00000000" w14:paraId="0000003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basic elements of a case or cause of action is the violation of a legal right and loss or harm. The alleged plaintiff, a legal fiction at best, ostensibly acting through John Andrew Doub has not pled any violation of a legal right or harm. Legally there is no cause of action:</w:t>
      </w:r>
    </w:p>
    <w:p w:rsidR="00000000" w:rsidDel="00000000" w:rsidP="00000000" w:rsidRDefault="00000000" w:rsidRPr="00000000" w14:paraId="00000032">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A Cause of action is some particular legal right of plaintiff against defendant, together with some definite violation thereof which occasions loss or damage.” Luckie v. McCall Manufacturing Co., 152 So.2d 311, 314…” </w:t>
      </w:r>
      <w:r w:rsidDel="00000000" w:rsidR="00000000" w:rsidRPr="00000000">
        <w:rPr>
          <w:rFonts w:ascii="Times New Roman" w:cs="Times New Roman" w:eastAsia="Times New Roman" w:hAnsi="Times New Roman"/>
          <w:u w:val="single"/>
          <w:rtl w:val="0"/>
        </w:rPr>
        <w:t xml:space="preserve">Soowal v. Marden</w:t>
      </w:r>
      <w:r w:rsidDel="00000000" w:rsidR="00000000" w:rsidRPr="00000000">
        <w:rPr>
          <w:rFonts w:ascii="Times New Roman" w:cs="Times New Roman" w:eastAsia="Times New Roman" w:hAnsi="Times New Roman"/>
          <w:rtl w:val="0"/>
        </w:rPr>
        <w:t xml:space="preserve">, 452 So.2d 625, 626.</w:t>
      </w:r>
    </w:p>
    <w:p w:rsidR="00000000" w:rsidDel="00000000" w:rsidP="00000000" w:rsidRDefault="00000000" w:rsidRPr="00000000" w14:paraId="0000003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includes proceedings like these allegedly criminal in nature:</w:t>
      </w:r>
    </w:p>
    <w:p w:rsidR="00000000" w:rsidDel="00000000" w:rsidP="00000000" w:rsidRDefault="00000000" w:rsidRPr="00000000" w14:paraId="0000003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"Causation consists of two distinct sub-elements. As legal scholars have recognized, before a defendant can be convicted of a crime that includes an element of causation, the State must prove beyond a reasonable doubt that the defendant's conduct was (1) the "cause in fact" and (2) the "legal cause" (often called "proximate cause") of the relevant harm...In order to establish that a defendant's conduct was the "cause in fact" of a particular harm, the State usually must demonstrate that "but for" the defendant's conduct, the harm would not have occurred." </w:t>
      </w:r>
      <w:r w:rsidDel="00000000" w:rsidR="00000000" w:rsidRPr="00000000">
        <w:rPr>
          <w:rFonts w:ascii="Times New Roman" w:cs="Times New Roman" w:eastAsia="Times New Roman" w:hAnsi="Times New Roman"/>
          <w:u w:val="single"/>
          <w:rtl w:val="0"/>
        </w:rPr>
        <w:t xml:space="preserve">Eversly</w:t>
      </w:r>
      <w:r w:rsidDel="00000000" w:rsidR="00000000" w:rsidRPr="00000000">
        <w:rPr>
          <w:rFonts w:ascii="Times New Roman" w:cs="Times New Roman" w:eastAsia="Times New Roman" w:hAnsi="Times New Roman"/>
          <w:u w:val="single"/>
          <w:rtl w:val="0"/>
        </w:rPr>
        <w:t xml:space="preserve"> v. State</w:t>
      </w:r>
      <w:r w:rsidDel="00000000" w:rsidR="00000000" w:rsidRPr="00000000">
        <w:rPr>
          <w:rFonts w:ascii="Times New Roman" w:cs="Times New Roman" w:eastAsia="Times New Roman" w:hAnsi="Times New Roman"/>
          <w:rtl w:val="0"/>
        </w:rPr>
        <w:t xml:space="preserve">, 748 So.2d 963, 966-967 (Fla. 1999).</w:t>
      </w:r>
    </w:p>
    <w:p w:rsidR="00000000" w:rsidDel="00000000" w:rsidP="00000000" w:rsidRDefault="00000000" w:rsidRPr="00000000" w14:paraId="0000003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It is a fundamental principle of law that no person be adjudged guilty of a crime until the state has shown that a crime has been committed. The state therefore must show that a harm has been suffered of the type contemplated by the charges (for example, a death in the case of a murder charge or a loss of property in the case of a theft charge), and that such harm was incurred due to the criminal agency of another. Thus, it is sufficient if the elements of the underlying crime are proven rather than those of the particular degree or variation of that crime which may be charged.” </w:t>
      </w:r>
      <w:r w:rsidDel="00000000" w:rsidR="00000000" w:rsidRPr="00000000">
        <w:rPr>
          <w:rFonts w:ascii="Times New Roman" w:cs="Times New Roman" w:eastAsia="Times New Roman" w:hAnsi="Times New Roman"/>
          <w:u w:val="single"/>
          <w:rtl w:val="0"/>
        </w:rPr>
        <w:t xml:space="preserve">State v. Allen</w:t>
      </w:r>
      <w:r w:rsidDel="00000000" w:rsidR="00000000" w:rsidRPr="00000000">
        <w:rPr>
          <w:rFonts w:ascii="Times New Roman" w:cs="Times New Roman" w:eastAsia="Times New Roman" w:hAnsi="Times New Roman"/>
          <w:rtl w:val="0"/>
        </w:rPr>
        <w:t xml:space="preserve">, 335 So. 2d 823,825 (Fla. 1976).</w:t>
      </w:r>
    </w:p>
    <w:p w:rsidR="00000000" w:rsidDel="00000000" w:rsidP="00000000" w:rsidRDefault="00000000" w:rsidRPr="00000000" w14:paraId="0000003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Even if the absurd claim is made harm is not a necessary element of a real crime, the complaint is still fatally flawed as there is no accusation alleged defendant violated any one’s legal rights.</w:t>
      </w:r>
    </w:p>
    <w:p w:rsidR="00000000" w:rsidDel="00000000" w:rsidP="00000000" w:rsidRDefault="00000000" w:rsidRPr="00000000" w14:paraId="0000003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If there were a true adversary against alleged defendant, it would be laughable to even try to discuss causation because defendant is not accused of causing anything, real or </w:t>
      </w:r>
      <w:r w:rsidDel="00000000" w:rsidR="00000000" w:rsidRPr="00000000">
        <w:rPr>
          <w:rFonts w:ascii="Times New Roman" w:cs="Times New Roman" w:eastAsia="Times New Roman" w:hAnsi="Times New Roman"/>
          <w:i w:val="1"/>
          <w:rtl w:val="0"/>
        </w:rPr>
        <w:t xml:space="preserve">imagined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C">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w:t>
      </w:r>
      <w:r w:rsidDel="00000000" w:rsidR="00000000" w:rsidRPr="00000000">
        <w:rPr>
          <w:rFonts w:ascii="Times New Roman" w:cs="Times New Roman" w:eastAsia="Times New Roman" w:hAnsi="Times New Roman"/>
          <w:u w:val="single"/>
          <w:rtl w:val="0"/>
        </w:rPr>
        <w:t xml:space="preserve">No corpus </w:t>
      </w:r>
      <w:r w:rsidDel="00000000" w:rsidR="00000000" w:rsidRPr="00000000">
        <w:rPr>
          <w:rFonts w:ascii="Times New Roman" w:cs="Times New Roman" w:eastAsia="Times New Roman" w:hAnsi="Times New Roman"/>
          <w:u w:val="single"/>
          <w:rtl w:val="0"/>
        </w:rPr>
        <w:t xml:space="preserve">delecti</w:t>
      </w:r>
      <w:r w:rsidDel="00000000" w:rsidR="00000000" w:rsidRPr="00000000">
        <w:rPr>
          <w:rFonts w:ascii="Times New Roman" w:cs="Times New Roman" w:eastAsia="Times New Roman" w:hAnsi="Times New Roman"/>
          <w:rtl w:val="0"/>
        </w:rPr>
        <w:t xml:space="preserve">. The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is the “body of the crime” itself. Virtually every American jurisdiction agrees it’s an absolutely essential element of any crime and is consistent with the stated purpose of American governments:</w:t>
      </w:r>
    </w:p>
    <w:p w:rsidR="00000000" w:rsidDel="00000000" w:rsidP="00000000" w:rsidRDefault="00000000" w:rsidRPr="00000000" w14:paraId="0000003D">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is usually proven by following two elements: injury or loss, and someone’s criminal act as cause thereof…” </w:t>
      </w:r>
      <w:r w:rsidDel="00000000" w:rsidR="00000000" w:rsidRPr="00000000">
        <w:rPr>
          <w:rFonts w:ascii="Times New Roman" w:cs="Times New Roman" w:eastAsia="Times New Roman" w:hAnsi="Times New Roman"/>
          <w:u w:val="single"/>
          <w:rtl w:val="0"/>
        </w:rPr>
        <w:t xml:space="preserve">State v. Smith</w:t>
      </w:r>
      <w:r w:rsidDel="00000000" w:rsidR="00000000" w:rsidRPr="00000000">
        <w:rPr>
          <w:rFonts w:ascii="Times New Roman" w:cs="Times New Roman" w:eastAsia="Times New Roman" w:hAnsi="Times New Roman"/>
          <w:rtl w:val="0"/>
        </w:rPr>
        <w:t xml:space="preserve">, 801 P.2d 975, 115 Wash.2d 775.</w:t>
      </w:r>
    </w:p>
    <w:p w:rsidR="00000000" w:rsidDel="00000000" w:rsidP="00000000" w:rsidRDefault="00000000" w:rsidRPr="00000000" w14:paraId="0000003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consists of injury or loss and someone’s criminal act which caused it.” </w:t>
      </w:r>
      <w:r w:rsidDel="00000000" w:rsidR="00000000" w:rsidRPr="00000000">
        <w:rPr>
          <w:rFonts w:ascii="Times New Roman" w:cs="Times New Roman" w:eastAsia="Times New Roman" w:hAnsi="Times New Roman"/>
          <w:u w:val="single"/>
          <w:rtl w:val="0"/>
        </w:rPr>
        <w:t xml:space="preserve">State v. Espinoza</w:t>
      </w:r>
      <w:r w:rsidDel="00000000" w:rsidR="00000000" w:rsidRPr="00000000">
        <w:rPr>
          <w:rFonts w:ascii="Times New Roman" w:cs="Times New Roman" w:eastAsia="Times New Roman" w:hAnsi="Times New Roman"/>
          <w:rtl w:val="0"/>
        </w:rPr>
        <w:t xml:space="preserve">, 774 P.2d 1177, 1182, 112 Wash.2d 819.</w:t>
      </w:r>
    </w:p>
    <w:p w:rsidR="00000000" w:rsidDel="00000000" w:rsidP="00000000" w:rsidRDefault="00000000" w:rsidRPr="00000000" w14:paraId="0000004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every criminal trial, the prosecution must prove the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or the body of the crime itself - i.e., the fact of injury, loss or harm, and the existence of a criminal agency as its cause." </w:t>
      </w:r>
      <w:r w:rsidDel="00000000" w:rsidR="00000000" w:rsidRPr="00000000">
        <w:rPr>
          <w:rFonts w:ascii="Times New Roman" w:cs="Times New Roman" w:eastAsia="Times New Roman" w:hAnsi="Times New Roman"/>
          <w:u w:val="single"/>
          <w:rtl w:val="0"/>
        </w:rPr>
        <w:t xml:space="preserve">People v. Sapp</w:t>
      </w:r>
      <w:r w:rsidDel="00000000" w:rsidR="00000000" w:rsidRPr="00000000">
        <w:rPr>
          <w:rFonts w:ascii="Times New Roman" w:cs="Times New Roman" w:eastAsia="Times New Roman" w:hAnsi="Times New Roman"/>
          <w:rtl w:val="0"/>
        </w:rPr>
        <w:t xml:space="preserve">, 73 P.3d 433, 467 (Cal. 2003) [quoting People v. Alvarez, (2002) 27 Cal.4th 1161, 1168-1169, 119 Cal.Rptr.2d 903, 46 P.3d 372.] (Calif).</w:t>
      </w:r>
    </w:p>
    <w:p w:rsidR="00000000" w:rsidDel="00000000" w:rsidP="00000000" w:rsidRDefault="00000000" w:rsidRPr="00000000" w14:paraId="0000004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defining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Wharton says: 'It is made up of two elements: (1) That a certain result has been produced...(2) That someone is criminally responsible for the result..." </w:t>
      </w:r>
      <w:r w:rsidDel="00000000" w:rsidR="00000000" w:rsidRPr="00000000">
        <w:rPr>
          <w:rFonts w:ascii="Times New Roman" w:cs="Times New Roman" w:eastAsia="Times New Roman" w:hAnsi="Times New Roman"/>
          <w:u w:val="single"/>
          <w:rtl w:val="0"/>
        </w:rPr>
        <w:t xml:space="preserve">McVeigh v. State</w:t>
      </w:r>
      <w:r w:rsidDel="00000000" w:rsidR="00000000" w:rsidRPr="00000000">
        <w:rPr>
          <w:rFonts w:ascii="Times New Roman" w:cs="Times New Roman" w:eastAsia="Times New Roman" w:hAnsi="Times New Roman"/>
          <w:rtl w:val="0"/>
        </w:rPr>
        <w:t xml:space="preserve">, 53 S.E.2d 462, 469 (Georgia).</w:t>
      </w:r>
    </w:p>
    <w:p w:rsidR="00000000" w:rsidDel="00000000" w:rsidP="00000000" w:rsidRDefault="00000000" w:rsidRPr="00000000" w14:paraId="0000004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prove that a crime occurred, the State must prove beyond a reasonable doubt: (1) the basic injury..., (2) the fact that the basic injury was the result of a criminal, rather than a natural or accidental cause..." </w:t>
      </w:r>
      <w:r w:rsidDel="00000000" w:rsidR="00000000" w:rsidRPr="00000000">
        <w:rPr>
          <w:rFonts w:ascii="Times New Roman" w:cs="Times New Roman" w:eastAsia="Times New Roman" w:hAnsi="Times New Roman"/>
          <w:u w:val="single"/>
          <w:rtl w:val="0"/>
        </w:rPr>
        <w:t xml:space="preserve">State v. Libero</w:t>
      </w:r>
      <w:r w:rsidDel="00000000" w:rsidR="00000000" w:rsidRPr="00000000">
        <w:rPr>
          <w:rFonts w:ascii="Times New Roman" w:cs="Times New Roman" w:eastAsia="Times New Roman" w:hAnsi="Times New Roman"/>
          <w:rtl w:val="0"/>
        </w:rPr>
        <w:t xml:space="preserve">, 83 P.3d 753, 763 (2003), [quoting </w:t>
      </w:r>
      <w:r w:rsidDel="00000000" w:rsidR="00000000" w:rsidRPr="00000000">
        <w:rPr>
          <w:rFonts w:ascii="Times New Roman" w:cs="Times New Roman" w:eastAsia="Times New Roman" w:hAnsi="Times New Roman"/>
          <w:u w:val="single"/>
          <w:rtl w:val="0"/>
        </w:rPr>
        <w:t xml:space="preserve">State v. Dudoit</w:t>
      </w:r>
      <w:r w:rsidDel="00000000" w:rsidR="00000000" w:rsidRPr="00000000">
        <w:rPr>
          <w:rFonts w:ascii="Times New Roman" w:cs="Times New Roman" w:eastAsia="Times New Roman" w:hAnsi="Times New Roman"/>
          <w:rtl w:val="0"/>
        </w:rPr>
        <w:t xml:space="preserve">, 55 Haw. 1, 2, 514 P.2d 373, 374 (1973)] (Hawaii).</w:t>
      </w:r>
    </w:p>
    <w:p w:rsidR="00000000" w:rsidDel="00000000" w:rsidP="00000000" w:rsidRDefault="00000000" w:rsidRPr="00000000" w14:paraId="0000004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Occurrence of injury or loss, and its causation by criminal conduct, are termed the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People v. Assenato</w:t>
      </w:r>
      <w:r w:rsidDel="00000000" w:rsidR="00000000" w:rsidRPr="00000000">
        <w:rPr>
          <w:rFonts w:ascii="Times New Roman" w:cs="Times New Roman" w:eastAsia="Times New Roman" w:hAnsi="Times New Roman"/>
          <w:rtl w:val="0"/>
        </w:rPr>
        <w:t xml:space="preserve">, 586 N.E.2d 445, 448, 166 Ill.Dec. 487, 490. (Illinois).</w:t>
      </w:r>
    </w:p>
    <w:p w:rsidR="00000000" w:rsidDel="00000000" w:rsidP="00000000" w:rsidRDefault="00000000" w:rsidRPr="00000000" w14:paraId="0000004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the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must be proved beyond a reasonable doubt...it may be established by circumstantial evidence..." </w:t>
      </w:r>
      <w:r w:rsidDel="00000000" w:rsidR="00000000" w:rsidRPr="00000000">
        <w:rPr>
          <w:rFonts w:ascii="Times New Roman" w:cs="Times New Roman" w:eastAsia="Times New Roman" w:hAnsi="Times New Roman"/>
          <w:u w:val="single"/>
          <w:rtl w:val="0"/>
        </w:rPr>
        <w:t xml:space="preserve">James v. State</w:t>
      </w:r>
      <w:r w:rsidDel="00000000" w:rsidR="00000000" w:rsidRPr="00000000">
        <w:rPr>
          <w:rFonts w:ascii="Times New Roman" w:cs="Times New Roman" w:eastAsia="Times New Roman" w:hAnsi="Times New Roman"/>
          <w:rtl w:val="0"/>
        </w:rPr>
        <w:t xml:space="preserve">, 248 A.2d 910, 912. (Maryland)</w:t>
      </w:r>
    </w:p>
    <w:p w:rsidR="00000000" w:rsidDel="00000000" w:rsidP="00000000" w:rsidRDefault="00000000" w:rsidRPr="00000000" w14:paraId="0000004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Criminal responsibility is imposed on the basis of the intentional doing of an act with awareness of the probability that the act will result in substantial damage, regardless of whether the injury turns out to be minor or insignificant.” </w:t>
      </w:r>
      <w:r w:rsidDel="00000000" w:rsidR="00000000" w:rsidRPr="00000000">
        <w:rPr>
          <w:rFonts w:ascii="Times New Roman" w:cs="Times New Roman" w:eastAsia="Times New Roman" w:hAnsi="Times New Roman"/>
          <w:u w:val="single"/>
          <w:rtl w:val="0"/>
        </w:rPr>
        <w:t xml:space="preserve">Com. v. Ruddock</w:t>
      </w:r>
      <w:r w:rsidDel="00000000" w:rsidR="00000000" w:rsidRPr="00000000">
        <w:rPr>
          <w:rFonts w:ascii="Times New Roman" w:cs="Times New Roman" w:eastAsia="Times New Roman" w:hAnsi="Times New Roman"/>
          <w:rtl w:val="0"/>
        </w:rPr>
        <w:t xml:space="preserve">, 520 N.E.2d 501. (Massachusetts)</w:t>
      </w:r>
    </w:p>
    <w:p w:rsidR="00000000" w:rsidDel="00000000" w:rsidP="00000000" w:rsidRDefault="00000000" w:rsidRPr="00000000" w14:paraId="0000004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The term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embraces occurrence of loss or injury and criminal causation thereof.” </w:t>
      </w:r>
      <w:r w:rsidDel="00000000" w:rsidR="00000000" w:rsidRPr="00000000">
        <w:rPr>
          <w:rFonts w:ascii="Times New Roman" w:cs="Times New Roman" w:eastAsia="Times New Roman" w:hAnsi="Times New Roman"/>
          <w:u w:val="single"/>
          <w:rtl w:val="0"/>
        </w:rPr>
        <w:t xml:space="preserve">State v. Hill</w:t>
      </w:r>
      <w:r w:rsidDel="00000000" w:rsidR="00000000" w:rsidRPr="00000000">
        <w:rPr>
          <w:rFonts w:ascii="Times New Roman" w:cs="Times New Roman" w:eastAsia="Times New Roman" w:hAnsi="Times New Roman"/>
          <w:rtl w:val="0"/>
        </w:rPr>
        <w:t xml:space="preserve">, 221 A.2d 725, 728, 47 N.J. 490. (New Jersey)</w:t>
      </w:r>
    </w:p>
    <w:p w:rsidR="00000000" w:rsidDel="00000000" w:rsidP="00000000" w:rsidRDefault="00000000" w:rsidRPr="00000000" w14:paraId="0000004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It has long been fundamental to the criminal jurisprudence of this Commonwealth that a necessary predicate to any conviction if proof of the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i.e., the occurrence of any injury or loss and someone's criminality as the source of this injury or loss. See Commonwealth v. Burns, 490 Pa. 619, 627, 187 A.2d 552, 556-557 (1963); Commonwealth v. Turza, 340 Pa. 128, 133, 16 A.2d 401, 404 (1940)." </w:t>
      </w:r>
      <w:r w:rsidDel="00000000" w:rsidR="00000000" w:rsidRPr="00000000">
        <w:rPr>
          <w:rFonts w:ascii="Times New Roman" w:cs="Times New Roman" w:eastAsia="Times New Roman" w:hAnsi="Times New Roman"/>
          <w:u w:val="single"/>
          <w:rtl w:val="0"/>
        </w:rPr>
        <w:t xml:space="preserve">Commonwealth v. Maybee</w:t>
      </w:r>
      <w:r w:rsidDel="00000000" w:rsidR="00000000" w:rsidRPr="00000000">
        <w:rPr>
          <w:rFonts w:ascii="Times New Roman" w:cs="Times New Roman" w:eastAsia="Times New Roman" w:hAnsi="Times New Roman"/>
          <w:rtl w:val="0"/>
        </w:rPr>
        <w:t xml:space="preserve">, 239 A.2d 332, 333. (Pennsylvania)</w:t>
      </w:r>
    </w:p>
    <w:p w:rsidR="00000000" w:rsidDel="00000000" w:rsidP="00000000" w:rsidRDefault="00000000" w:rsidRPr="00000000" w14:paraId="0000005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The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of a crime consists of two elements: (1) the fact of the injury or loss or harm, and (2) the existence of a criminal agency as its cause [citations omitted] there must be sufficient proof of both elements of the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beyond a reasonable doubt.” </w:t>
      </w:r>
      <w:r w:rsidDel="00000000" w:rsidR="00000000" w:rsidRPr="00000000">
        <w:rPr>
          <w:rFonts w:ascii="Times New Roman" w:cs="Times New Roman" w:eastAsia="Times New Roman" w:hAnsi="Times New Roman"/>
          <w:u w:val="single"/>
          <w:rtl w:val="0"/>
        </w:rPr>
        <w:t xml:space="preserve">29A American Jurisprudence Second Ed</w:t>
      </w:r>
      <w:r w:rsidDel="00000000" w:rsidR="00000000" w:rsidRPr="00000000">
        <w:rPr>
          <w:rFonts w:ascii="Times New Roman" w:cs="Times New Roman" w:eastAsia="Times New Roman" w:hAnsi="Times New Roman"/>
          <w:rtl w:val="0"/>
        </w:rPr>
        <w:t xml:space="preserve">., Evidence § 1476.</w:t>
      </w:r>
    </w:p>
    <w:p w:rsidR="00000000" w:rsidDel="00000000" w:rsidP="00000000" w:rsidRDefault="00000000" w:rsidRPr="00000000" w14:paraId="0000005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is not the same as the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rule” which is not an element of the alleged crime, but a procedural rule.</w:t>
      </w:r>
    </w:p>
    <w:p w:rsidR="00000000" w:rsidDel="00000000" w:rsidP="00000000" w:rsidRDefault="00000000" w:rsidRPr="00000000" w14:paraId="0000005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pled in the complaint. Without a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there is no crime:</w:t>
      </w:r>
    </w:p>
    <w:p w:rsidR="00000000" w:rsidDel="00000000" w:rsidP="00000000" w:rsidRDefault="00000000" w:rsidRPr="00000000" w14:paraId="00000055">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Component parts of every crime are the occurrence of a specific kind of injury or loss, somebody’s criminality as source of the loss, and the accused’s identity as the doer of the crime; the first two elements are what constitutes the concept of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U.S. v. Shunk</w:t>
      </w:r>
      <w:r w:rsidDel="00000000" w:rsidR="00000000" w:rsidRPr="00000000">
        <w:rPr>
          <w:rFonts w:ascii="Times New Roman" w:cs="Times New Roman" w:eastAsia="Times New Roman" w:hAnsi="Times New Roman"/>
          <w:rtl w:val="0"/>
        </w:rPr>
        <w:t xml:space="preserve">, 881 F.2d 917, 919 C.A. 10 (Utah).</w:t>
      </w:r>
    </w:p>
    <w:p w:rsidR="00000000" w:rsidDel="00000000" w:rsidP="00000000" w:rsidRDefault="00000000" w:rsidRPr="00000000" w14:paraId="0000005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 </w:t>
      </w:r>
      <w:r w:rsidDel="00000000" w:rsidR="00000000" w:rsidRPr="00000000">
        <w:rPr>
          <w:rFonts w:ascii="Times New Roman" w:cs="Times New Roman" w:eastAsia="Times New Roman" w:hAnsi="Times New Roman"/>
          <w:u w:val="single"/>
          <w:rtl w:val="0"/>
        </w:rPr>
        <w:t xml:space="preserve">Lack of jurisdiction</w:t>
      </w:r>
      <w:r w:rsidDel="00000000" w:rsidR="00000000" w:rsidRPr="00000000">
        <w:rPr>
          <w:rFonts w:ascii="Times New Roman" w:cs="Times New Roman" w:eastAsia="Times New Roman" w:hAnsi="Times New Roman"/>
          <w:rtl w:val="0"/>
        </w:rPr>
        <w:t xml:space="preserve">. “Standing represents a jurisdictional requirement which remains open to review at all stages of the litigation.” </w:t>
      </w:r>
      <w:r w:rsidDel="00000000" w:rsidR="00000000" w:rsidRPr="00000000">
        <w:rPr>
          <w:rFonts w:ascii="Times New Roman" w:cs="Times New Roman" w:eastAsia="Times New Roman" w:hAnsi="Times New Roman"/>
          <w:u w:val="single"/>
          <w:rtl w:val="0"/>
        </w:rPr>
        <w:t xml:space="preserve">National Organization for Women, Inc., v. Scheidler</w:t>
      </w:r>
      <w:r w:rsidDel="00000000" w:rsidR="00000000" w:rsidRPr="00000000">
        <w:rPr>
          <w:rFonts w:ascii="Times New Roman" w:cs="Times New Roman" w:eastAsia="Times New Roman" w:hAnsi="Times New Roman"/>
          <w:rtl w:val="0"/>
        </w:rPr>
        <w:t xml:space="preserve">, 510 US 249.</w:t>
      </w:r>
    </w:p>
    <w:p w:rsidR="00000000" w:rsidDel="00000000" w:rsidP="00000000" w:rsidRDefault="00000000" w:rsidRPr="00000000" w14:paraId="0000005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there is no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there is no crime. The allegation fails to meet every legal standard of what a crime is. Also, because American governments are established for the sole purpose of protecting rights, a true crime requires the violation of a legal right. Alleged defendant is not accused of violating anyone’s legal rights, therefore, there is no crime/case or cause of action pled and the court has no jurisdiction.</w:t>
      </w:r>
    </w:p>
    <w:p w:rsidR="00000000" w:rsidDel="00000000" w:rsidP="00000000" w:rsidRDefault="00000000" w:rsidRPr="00000000" w14:paraId="0000005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u w:val="single"/>
          <w:rtl w:val="0"/>
        </w:rPr>
        <w:t xml:space="preserve">The complaint is “unfit for adjudication”</w:t>
      </w:r>
      <w:r w:rsidDel="00000000" w:rsidR="00000000" w:rsidRPr="00000000">
        <w:rPr>
          <w:rFonts w:ascii="Times New Roman" w:cs="Times New Roman" w:eastAsia="Times New Roman" w:hAnsi="Times New Roman"/>
          <w:rtl w:val="0"/>
        </w:rPr>
        <w:t xml:space="preserve">. Because American courts are </w:t>
      </w:r>
      <w:r w:rsidDel="00000000" w:rsidR="00000000" w:rsidRPr="00000000">
        <w:rPr>
          <w:rFonts w:ascii="Times New Roman" w:cs="Times New Roman" w:eastAsia="Times New Roman" w:hAnsi="Times New Roman"/>
          <w:rtl w:val="0"/>
        </w:rPr>
        <w:t xml:space="preserve">adversary</w:t>
      </w:r>
      <w:r w:rsidDel="00000000" w:rsidR="00000000" w:rsidRPr="00000000">
        <w:rPr>
          <w:rFonts w:ascii="Times New Roman" w:cs="Times New Roman" w:eastAsia="Times New Roman" w:hAnsi="Times New Roman"/>
          <w:rtl w:val="0"/>
        </w:rPr>
        <w:t xml:space="preserve"> systems, the complaint is “unfit for adjudication”:</w:t>
      </w:r>
    </w:p>
    <w:p w:rsidR="00000000" w:rsidDel="00000000" w:rsidP="00000000" w:rsidRDefault="00000000" w:rsidRPr="00000000" w14:paraId="0000005C">
      <w:pPr>
        <w:spacing w:line="240" w:lineRule="auto"/>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The [Supreme] Court has found unfit for adjudication any cause that "is not in any real sense adversary," that "does not assume the `honest and actual antagonistic assertion of rights' to be adjudicated…” </w:t>
      </w:r>
      <w:r w:rsidDel="00000000" w:rsidR="00000000" w:rsidRPr="00000000">
        <w:rPr>
          <w:rFonts w:ascii="Times New Roman" w:cs="Times New Roman" w:eastAsia="Times New Roman" w:hAnsi="Times New Roman"/>
          <w:u w:val="single"/>
          <w:rtl w:val="0"/>
        </w:rPr>
        <w:t xml:space="preserve">Poe v. Ullman</w:t>
      </w:r>
      <w:r w:rsidDel="00000000" w:rsidR="00000000" w:rsidRPr="00000000">
        <w:rPr>
          <w:rFonts w:ascii="Times New Roman" w:cs="Times New Roman" w:eastAsia="Times New Roman" w:hAnsi="Times New Roman"/>
          <w:rtl w:val="0"/>
        </w:rPr>
        <w:t xml:space="preserve">, 367 U.S. 497, 505 (1961).</w:t>
      </w:r>
    </w:p>
    <w:p w:rsidR="00000000" w:rsidDel="00000000" w:rsidP="00000000" w:rsidRDefault="00000000" w:rsidRPr="00000000" w14:paraId="0000005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if the phrase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is not used, there is no </w:t>
      </w:r>
      <w:r w:rsidDel="00000000" w:rsidR="00000000" w:rsidRPr="00000000">
        <w:rPr>
          <w:rFonts w:ascii="Times New Roman" w:cs="Times New Roman" w:eastAsia="Times New Roman" w:hAnsi="Times New Roman"/>
          <w:rtl w:val="0"/>
        </w:rPr>
        <w:t xml:space="preserve">doubt this</w:t>
      </w:r>
      <w:r w:rsidDel="00000000" w:rsidR="00000000" w:rsidRPr="00000000">
        <w:rPr>
          <w:rFonts w:ascii="Times New Roman" w:cs="Times New Roman" w:eastAsia="Times New Roman" w:hAnsi="Times New Roman"/>
          <w:rtl w:val="0"/>
        </w:rPr>
        <w:t xml:space="preserve"> is not an adversary proceeding as there are no allegations I violated any legal rights.</w:t>
      </w:r>
    </w:p>
    <w:p w:rsidR="00000000" w:rsidDel="00000000" w:rsidP="00000000" w:rsidRDefault="00000000" w:rsidRPr="00000000" w14:paraId="0000005F">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u w:val="single"/>
          <w:rtl w:val="0"/>
        </w:rPr>
        <w:t xml:space="preserve">No evidence of presence within State and laws applicable</w:t>
      </w:r>
      <w:r w:rsidDel="00000000" w:rsidR="00000000" w:rsidRPr="00000000">
        <w:rPr>
          <w:rFonts w:ascii="Times New Roman" w:cs="Times New Roman" w:eastAsia="Times New Roman" w:hAnsi="Times New Roman"/>
          <w:rtl w:val="0"/>
        </w:rPr>
        <w:t xml:space="preserve">. There are no facts pled to prove my presence within the plaintiff State of TENNESSEE and the laws of the state are applicable to me. Such evidence is essential to prove jurisdiction.</w:t>
      </w:r>
    </w:p>
    <w:p w:rsidR="00000000" w:rsidDel="00000000" w:rsidP="00000000" w:rsidRDefault="00000000" w:rsidRPr="00000000" w14:paraId="00000061">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Mere geographic location is not evidence of presence within the alleged plaintiff, State of TENNESSEE. It’s impossible to prove my presence </w:t>
      </w:r>
      <w:r w:rsidDel="00000000" w:rsidR="00000000" w:rsidRPr="00000000">
        <w:rPr>
          <w:rFonts w:ascii="Times New Roman" w:cs="Times New Roman" w:eastAsia="Times New Roman" w:hAnsi="Times New Roman"/>
          <w:u w:val="single"/>
          <w:rtl w:val="0"/>
        </w:rPr>
        <w:t xml:space="preserve">within the alleged plaintiff</w:t>
      </w:r>
      <w:r w:rsidDel="00000000" w:rsidR="00000000" w:rsidRPr="00000000">
        <w:rPr>
          <w:rFonts w:ascii="Times New Roman" w:cs="Times New Roman" w:eastAsia="Times New Roman" w:hAnsi="Times New Roman"/>
          <w:rtl w:val="0"/>
        </w:rPr>
        <w:t xml:space="preserve"> beyond a reasonable doubt or a preponderance of evidence. The State of TENNESSEE, while obviously not geographic, is at best political as it did not exist prior to January 2, 1788</w:t>
      </w:r>
    </w:p>
    <w:p w:rsidR="00000000" w:rsidDel="00000000" w:rsidP="00000000" w:rsidRDefault="00000000" w:rsidRPr="00000000" w14:paraId="00000062">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phrase State of TENNESSEE appears to be not much more than a dba or pseudonym for lawyers and police officers. This will be shown if a state lawyer responds to this motion.</w:t>
      </w:r>
    </w:p>
    <w:p w:rsidR="00000000" w:rsidDel="00000000" w:rsidP="00000000" w:rsidRDefault="00000000" w:rsidRPr="00000000" w14:paraId="00000063">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laws of the state only apply within the state, there is no evidence, and nothing alleged, the law of the state apply to me.</w:t>
      </w:r>
    </w:p>
    <w:p w:rsidR="00000000" w:rsidDel="00000000" w:rsidP="00000000" w:rsidRDefault="00000000" w:rsidRPr="00000000" w14:paraId="0000006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this is a criminal proceeding, then the assigned judge is obligated to presume my innocence until it is proven beyond a reasonable doubt. The judge may not assume the law is applicable </w:t>
      </w:r>
      <w:r w:rsidDel="00000000" w:rsidR="00000000" w:rsidRPr="00000000">
        <w:rPr>
          <w:rFonts w:ascii="Times New Roman" w:cs="Times New Roman" w:eastAsia="Times New Roman" w:hAnsi="Times New Roman"/>
          <w:u w:val="single"/>
          <w:rtl w:val="0"/>
        </w:rPr>
        <w:t xml:space="preserve">now</w:t>
      </w:r>
      <w:r w:rsidDel="00000000" w:rsidR="00000000" w:rsidRPr="00000000">
        <w:rPr>
          <w:rFonts w:ascii="Times New Roman" w:cs="Times New Roman" w:eastAsia="Times New Roman" w:hAnsi="Times New Roman"/>
          <w:rtl w:val="0"/>
        </w:rPr>
        <w:t xml:space="preserve"> because it is an essential element of the alleged crime.</w:t>
      </w:r>
    </w:p>
    <w:p w:rsidR="00000000" w:rsidDel="00000000" w:rsidP="00000000" w:rsidRDefault="00000000" w:rsidRPr="00000000" w14:paraId="00000065">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 </w:t>
      </w:r>
      <w:r w:rsidDel="00000000" w:rsidR="00000000" w:rsidRPr="00000000">
        <w:rPr>
          <w:rFonts w:ascii="Times New Roman" w:cs="Times New Roman" w:eastAsia="Times New Roman" w:hAnsi="Times New Roman"/>
          <w:u w:val="single"/>
          <w:rtl w:val="0"/>
        </w:rPr>
        <w:t xml:space="preserve">Court’s jurisdiction not enlarged by police authority</w:t>
      </w:r>
      <w:r w:rsidDel="00000000" w:rsidR="00000000" w:rsidRPr="00000000">
        <w:rPr>
          <w:rFonts w:ascii="Times New Roman" w:cs="Times New Roman" w:eastAsia="Times New Roman" w:hAnsi="Times New Roman"/>
          <w:rtl w:val="0"/>
        </w:rPr>
        <w:t xml:space="preserve">. The jurisdiction of the court is limited to protecting rights; this is not enlarged by alleging the police have authority to issue tickets. Such authority does not work to trump fundamental limitations on the courts.</w:t>
      </w:r>
    </w:p>
    <w:p w:rsidR="00000000" w:rsidDel="00000000" w:rsidP="00000000" w:rsidRDefault="00000000" w:rsidRPr="00000000" w14:paraId="00000067">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 amount of police authority may enlarge the limits of the adversary system. Adversary systems require true adversaries, this requires the allegation and proof of injury. The plaintiff has failed to make such allegations. Yes, police may have authority to issue traffic tickets, they must still allege injury for the court to proceed with jurisdiction.</w:t>
      </w:r>
    </w:p>
    <w:p w:rsidR="00000000" w:rsidDel="00000000" w:rsidP="00000000" w:rsidRDefault="00000000" w:rsidRPr="00000000" w14:paraId="00000068">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480" w:lineRule="auto"/>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6A">
      <w:pPr>
        <w:spacing w:line="480" w:lineRule="auto"/>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6B">
      <w:pPr>
        <w:spacing w:line="48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Conclusion</w:t>
      </w:r>
    </w:p>
    <w:p w:rsidR="00000000" w:rsidDel="00000000" w:rsidP="00000000" w:rsidRDefault="00000000" w:rsidRPr="00000000" w14:paraId="0000006C">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the plaintiff has failed to allege the required elements of a cause of action/crime and there is no corpus </w:t>
      </w:r>
      <w:r w:rsidDel="00000000" w:rsidR="00000000" w:rsidRPr="00000000">
        <w:rPr>
          <w:rFonts w:ascii="Times New Roman" w:cs="Times New Roman" w:eastAsia="Times New Roman" w:hAnsi="Times New Roman"/>
          <w:rtl w:val="0"/>
        </w:rPr>
        <w:t xml:space="preserve">delecti</w:t>
      </w:r>
      <w:r w:rsidDel="00000000" w:rsidR="00000000" w:rsidRPr="00000000">
        <w:rPr>
          <w:rFonts w:ascii="Times New Roman" w:cs="Times New Roman" w:eastAsia="Times New Roman" w:hAnsi="Times New Roman"/>
          <w:rtl w:val="0"/>
        </w:rPr>
        <w:t xml:space="preserve">, the Court has no jurisdiction. As such, the court should either strike the complaint filed against alleged defendant or dismiss it.</w:t>
      </w:r>
    </w:p>
    <w:p w:rsidR="00000000" w:rsidDel="00000000" w:rsidP="00000000" w:rsidRDefault="00000000" w:rsidRPr="00000000" w14:paraId="0000006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Submitted this ___ day of ___________ 2019</w:t>
      </w:r>
    </w:p>
    <w:p w:rsidR="00000000" w:rsidDel="00000000" w:rsidP="00000000" w:rsidRDefault="00000000" w:rsidRPr="00000000" w14:paraId="0000007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Sui Juris</w:t>
      </w:r>
    </w:p>
    <w:p w:rsidR="00000000" w:rsidDel="00000000" w:rsidP="00000000" w:rsidRDefault="00000000" w:rsidRPr="00000000" w14:paraId="0000007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Gregory-Justin; house of Parker</w:t>
      </w:r>
    </w:p>
    <w:p w:rsidR="00000000" w:rsidDel="00000000" w:rsidP="00000000" w:rsidRDefault="00000000" w:rsidRPr="00000000" w14:paraId="0000007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Sovereign American, holder of office of "the people".</w:t>
      </w:r>
    </w:p>
    <w:p w:rsidR="00000000" w:rsidDel="00000000" w:rsidP="00000000" w:rsidRDefault="00000000" w:rsidRPr="00000000" w14:paraId="0000007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jc w:val="center"/>
        <w:rPr>
          <w:highlight w:val="green"/>
        </w:rPr>
      </w:pPr>
      <w:r w:rsidDel="00000000" w:rsidR="00000000" w:rsidRPr="00000000">
        <w:rPr>
          <w:rtl w:val="0"/>
        </w:rPr>
      </w:r>
    </w:p>
    <w:p w:rsidR="00000000" w:rsidDel="00000000" w:rsidP="00000000" w:rsidRDefault="00000000" w:rsidRPr="00000000" w14:paraId="00000084">
      <w:pPr>
        <w:spacing w:line="240" w:lineRule="auto"/>
        <w:jc w:val="center"/>
        <w:rPr>
          <w:highlight w:val="green"/>
        </w:rPr>
      </w:pPr>
      <w:r w:rsidDel="00000000" w:rsidR="00000000" w:rsidRPr="00000000">
        <w:rPr>
          <w:rtl w:val="0"/>
        </w:rPr>
      </w:r>
    </w:p>
    <w:p w:rsidR="00000000" w:rsidDel="00000000" w:rsidP="00000000" w:rsidRDefault="00000000" w:rsidRPr="00000000" w14:paraId="00000085">
      <w:pPr>
        <w:spacing w:line="240" w:lineRule="auto"/>
        <w:jc w:val="center"/>
        <w:rPr>
          <w:highlight w:val="green"/>
        </w:rPr>
      </w:pPr>
      <w:r w:rsidDel="00000000" w:rsidR="00000000" w:rsidRPr="00000000">
        <w:rPr>
          <w:rtl w:val="0"/>
        </w:rPr>
      </w:r>
    </w:p>
    <w:p w:rsidR="00000000" w:rsidDel="00000000" w:rsidP="00000000" w:rsidRDefault="00000000" w:rsidRPr="00000000" w14:paraId="00000086">
      <w:pPr>
        <w:spacing w:line="240" w:lineRule="auto"/>
        <w:jc w:val="center"/>
        <w:rPr>
          <w:highlight w:val="green"/>
        </w:rPr>
      </w:pPr>
      <w:r w:rsidDel="00000000" w:rsidR="00000000" w:rsidRPr="00000000">
        <w:rPr>
          <w:rtl w:val="0"/>
        </w:rPr>
      </w:r>
    </w:p>
    <w:p w:rsidR="00000000" w:rsidDel="00000000" w:rsidP="00000000" w:rsidRDefault="00000000" w:rsidRPr="00000000" w14:paraId="00000087">
      <w:pPr>
        <w:spacing w:line="240" w:lineRule="auto"/>
        <w:jc w:val="center"/>
        <w:rPr>
          <w:highlight w:val="green"/>
        </w:rPr>
      </w:pPr>
      <w:r w:rsidDel="00000000" w:rsidR="00000000" w:rsidRPr="00000000">
        <w:rPr>
          <w:rtl w:val="0"/>
        </w:rPr>
      </w:r>
    </w:p>
    <w:p w:rsidR="00000000" w:rsidDel="00000000" w:rsidP="00000000" w:rsidRDefault="00000000" w:rsidRPr="00000000" w14:paraId="00000088">
      <w:pPr>
        <w:spacing w:line="240" w:lineRule="auto"/>
        <w:jc w:val="center"/>
        <w:rPr>
          <w:highlight w:val="green"/>
        </w:rPr>
      </w:pPr>
      <w:r w:rsidDel="00000000" w:rsidR="00000000" w:rsidRPr="00000000">
        <w:rPr>
          <w:rtl w:val="0"/>
        </w:rPr>
      </w:r>
    </w:p>
    <w:p w:rsidR="00000000" w:rsidDel="00000000" w:rsidP="00000000" w:rsidRDefault="00000000" w:rsidRPr="00000000" w14:paraId="00000089">
      <w:pPr>
        <w:spacing w:line="240" w:lineRule="auto"/>
        <w:jc w:val="center"/>
        <w:rPr>
          <w:highlight w:val="green"/>
        </w:rPr>
      </w:pPr>
      <w:r w:rsidDel="00000000" w:rsidR="00000000" w:rsidRPr="00000000">
        <w:rPr>
          <w:rtl w:val="0"/>
        </w:rPr>
      </w:r>
    </w:p>
    <w:p w:rsidR="00000000" w:rsidDel="00000000" w:rsidP="00000000" w:rsidRDefault="00000000" w:rsidRPr="00000000" w14:paraId="0000008A">
      <w:pPr>
        <w:spacing w:line="240" w:lineRule="auto"/>
        <w:jc w:val="center"/>
        <w:rPr>
          <w:highlight w:val="green"/>
        </w:rPr>
      </w:pPr>
      <w:r w:rsidDel="00000000" w:rsidR="00000000" w:rsidRPr="00000000">
        <w:rPr>
          <w:rtl w:val="0"/>
        </w:rPr>
      </w:r>
    </w:p>
    <w:p w:rsidR="00000000" w:rsidDel="00000000" w:rsidP="00000000" w:rsidRDefault="00000000" w:rsidRPr="00000000" w14:paraId="0000008B">
      <w:pPr>
        <w:spacing w:line="240" w:lineRule="auto"/>
        <w:jc w:val="center"/>
        <w:rPr>
          <w:highlight w:val="green"/>
        </w:rPr>
      </w:pPr>
      <w:r w:rsidDel="00000000" w:rsidR="00000000" w:rsidRPr="00000000">
        <w:rPr>
          <w:rtl w:val="0"/>
        </w:rPr>
      </w:r>
    </w:p>
    <w:p w:rsidR="00000000" w:rsidDel="00000000" w:rsidP="00000000" w:rsidRDefault="00000000" w:rsidRPr="00000000" w14:paraId="0000008C">
      <w:pPr>
        <w:spacing w:line="240" w:lineRule="auto"/>
        <w:jc w:val="center"/>
        <w:rPr>
          <w:highlight w:val="green"/>
        </w:rPr>
      </w:pPr>
      <w:r w:rsidDel="00000000" w:rsidR="00000000" w:rsidRPr="00000000">
        <w:rPr>
          <w:rtl w:val="0"/>
        </w:rPr>
      </w:r>
    </w:p>
    <w:p w:rsidR="00000000" w:rsidDel="00000000" w:rsidP="00000000" w:rsidRDefault="00000000" w:rsidRPr="00000000" w14:paraId="0000008D">
      <w:pPr>
        <w:spacing w:line="240" w:lineRule="auto"/>
        <w:jc w:val="center"/>
        <w:rPr>
          <w:highlight w:val="green"/>
        </w:rPr>
      </w:pPr>
      <w:r w:rsidDel="00000000" w:rsidR="00000000" w:rsidRPr="00000000">
        <w:rPr>
          <w:rtl w:val="0"/>
        </w:rPr>
      </w:r>
    </w:p>
    <w:p w:rsidR="00000000" w:rsidDel="00000000" w:rsidP="00000000" w:rsidRDefault="00000000" w:rsidRPr="00000000" w14:paraId="0000008E">
      <w:pPr>
        <w:spacing w:line="240" w:lineRule="auto"/>
        <w:jc w:val="center"/>
        <w:rPr>
          <w:highlight w:val="green"/>
        </w:rPr>
      </w:pPr>
      <w:r w:rsidDel="00000000" w:rsidR="00000000" w:rsidRPr="00000000">
        <w:rPr>
          <w:rtl w:val="0"/>
        </w:rPr>
      </w:r>
    </w:p>
    <w:p w:rsidR="00000000" w:rsidDel="00000000" w:rsidP="00000000" w:rsidRDefault="00000000" w:rsidRPr="00000000" w14:paraId="0000008F">
      <w:pPr>
        <w:spacing w:line="240" w:lineRule="auto"/>
        <w:jc w:val="center"/>
        <w:rPr>
          <w:highlight w:val="green"/>
        </w:rPr>
      </w:pPr>
      <w:r w:rsidDel="00000000" w:rsidR="00000000" w:rsidRPr="00000000">
        <w:rPr>
          <w:rtl w:val="0"/>
        </w:rPr>
      </w:r>
    </w:p>
    <w:p w:rsidR="00000000" w:rsidDel="00000000" w:rsidP="00000000" w:rsidRDefault="00000000" w:rsidRPr="00000000" w14:paraId="00000090">
      <w:pPr>
        <w:spacing w:line="240" w:lineRule="auto"/>
        <w:jc w:val="center"/>
        <w:rPr>
          <w:highlight w:val="green"/>
        </w:rPr>
      </w:pPr>
      <w:r w:rsidDel="00000000" w:rsidR="00000000" w:rsidRPr="00000000">
        <w:rPr>
          <w:rtl w:val="0"/>
        </w:rPr>
      </w:r>
    </w:p>
    <w:p w:rsidR="00000000" w:rsidDel="00000000" w:rsidP="00000000" w:rsidRDefault="00000000" w:rsidRPr="00000000" w14:paraId="00000091">
      <w:pPr>
        <w:spacing w:line="240" w:lineRule="auto"/>
        <w:jc w:val="center"/>
        <w:rPr>
          <w:highlight w:val="green"/>
        </w:rPr>
      </w:pPr>
      <w:r w:rsidDel="00000000" w:rsidR="00000000" w:rsidRPr="00000000">
        <w:rPr>
          <w:rtl w:val="0"/>
        </w:rPr>
      </w:r>
    </w:p>
    <w:p w:rsidR="00000000" w:rsidDel="00000000" w:rsidP="00000000" w:rsidRDefault="00000000" w:rsidRPr="00000000" w14:paraId="00000092">
      <w:pPr>
        <w:spacing w:line="240" w:lineRule="auto"/>
        <w:jc w:val="center"/>
        <w:rPr>
          <w:highlight w:val="green"/>
        </w:rPr>
      </w:pPr>
      <w:r w:rsidDel="00000000" w:rsidR="00000000" w:rsidRPr="00000000">
        <w:rPr>
          <w:rtl w:val="0"/>
        </w:rPr>
      </w:r>
    </w:p>
    <w:p w:rsidR="00000000" w:rsidDel="00000000" w:rsidP="00000000" w:rsidRDefault="00000000" w:rsidRPr="00000000" w14:paraId="00000093">
      <w:pPr>
        <w:spacing w:line="240" w:lineRule="auto"/>
        <w:jc w:val="center"/>
        <w:rPr>
          <w:highlight w:val="green"/>
        </w:rPr>
      </w:pPr>
      <w:r w:rsidDel="00000000" w:rsidR="00000000" w:rsidRPr="00000000">
        <w:rPr>
          <w:rtl w:val="0"/>
        </w:rPr>
      </w:r>
    </w:p>
    <w:p w:rsidR="00000000" w:rsidDel="00000000" w:rsidP="00000000" w:rsidRDefault="00000000" w:rsidRPr="00000000" w14:paraId="00000094">
      <w:pPr>
        <w:spacing w:line="240" w:lineRule="auto"/>
        <w:jc w:val="center"/>
        <w:rPr>
          <w:highlight w:val="green"/>
        </w:rPr>
      </w:pPr>
      <w:r w:rsidDel="00000000" w:rsidR="00000000" w:rsidRPr="00000000">
        <w:rPr>
          <w:rtl w:val="0"/>
        </w:rPr>
      </w:r>
    </w:p>
    <w:p w:rsidR="00000000" w:rsidDel="00000000" w:rsidP="00000000" w:rsidRDefault="00000000" w:rsidRPr="00000000" w14:paraId="00000095">
      <w:pPr>
        <w:spacing w:line="240" w:lineRule="auto"/>
        <w:jc w:val="center"/>
        <w:rPr>
          <w:highlight w:val="green"/>
        </w:rPr>
      </w:pPr>
      <w:r w:rsidDel="00000000" w:rsidR="00000000" w:rsidRPr="00000000">
        <w:rPr>
          <w:rtl w:val="0"/>
        </w:rPr>
      </w:r>
    </w:p>
    <w:p w:rsidR="00000000" w:rsidDel="00000000" w:rsidP="00000000" w:rsidRDefault="00000000" w:rsidRPr="00000000" w14:paraId="00000096">
      <w:pPr>
        <w:spacing w:line="240" w:lineRule="auto"/>
        <w:jc w:val="center"/>
        <w:rPr>
          <w:highlight w:val="green"/>
        </w:rPr>
      </w:pPr>
      <w:r w:rsidDel="00000000" w:rsidR="00000000" w:rsidRPr="00000000">
        <w:rPr>
          <w:rtl w:val="0"/>
        </w:rPr>
      </w:r>
    </w:p>
    <w:p w:rsidR="00000000" w:rsidDel="00000000" w:rsidP="00000000" w:rsidRDefault="00000000" w:rsidRPr="00000000" w14:paraId="00000097">
      <w:pPr>
        <w:spacing w:line="240" w:lineRule="auto"/>
        <w:jc w:val="center"/>
        <w:rPr>
          <w:highlight w:val="green"/>
        </w:rPr>
      </w:pPr>
      <w:r w:rsidDel="00000000" w:rsidR="00000000" w:rsidRPr="00000000">
        <w:rPr>
          <w:rtl w:val="0"/>
        </w:rPr>
      </w:r>
    </w:p>
    <w:p w:rsidR="00000000" w:rsidDel="00000000" w:rsidP="00000000" w:rsidRDefault="00000000" w:rsidRPr="00000000" w14:paraId="00000098">
      <w:pPr>
        <w:spacing w:line="240" w:lineRule="auto"/>
        <w:jc w:val="center"/>
        <w:rPr>
          <w:highlight w:val="green"/>
        </w:rPr>
      </w:pPr>
      <w:r w:rsidDel="00000000" w:rsidR="00000000" w:rsidRPr="00000000">
        <w:rPr>
          <w:rtl w:val="0"/>
        </w:rPr>
      </w:r>
    </w:p>
    <w:p w:rsidR="00000000" w:rsidDel="00000000" w:rsidP="00000000" w:rsidRDefault="00000000" w:rsidRPr="00000000" w14:paraId="00000099">
      <w:pPr>
        <w:spacing w:line="240" w:lineRule="auto"/>
        <w:jc w:val="center"/>
        <w:rPr>
          <w:highlight w:val="green"/>
        </w:rPr>
      </w:pPr>
      <w:r w:rsidDel="00000000" w:rsidR="00000000" w:rsidRPr="00000000">
        <w:rPr>
          <w:rtl w:val="0"/>
        </w:rPr>
      </w:r>
    </w:p>
    <w:p w:rsidR="00000000" w:rsidDel="00000000" w:rsidP="00000000" w:rsidRDefault="00000000" w:rsidRPr="00000000" w14:paraId="0000009A">
      <w:pPr>
        <w:spacing w:line="240" w:lineRule="auto"/>
        <w:jc w:val="center"/>
        <w:rPr>
          <w:highlight w:val="green"/>
        </w:rPr>
      </w:pPr>
      <w:r w:rsidDel="00000000" w:rsidR="00000000" w:rsidRPr="00000000">
        <w:rPr>
          <w:rtl w:val="0"/>
        </w:rPr>
      </w:r>
    </w:p>
    <w:p w:rsidR="00000000" w:rsidDel="00000000" w:rsidP="00000000" w:rsidRDefault="00000000" w:rsidRPr="00000000" w14:paraId="0000009B">
      <w:pPr>
        <w:spacing w:line="240" w:lineRule="auto"/>
        <w:ind w:left="3600" w:firstLine="0"/>
        <w:rPr>
          <w:highlight w:val="green"/>
        </w:rPr>
      </w:pPr>
      <w:r w:rsidDel="00000000" w:rsidR="00000000" w:rsidRPr="00000000">
        <w:rPr>
          <w:rtl w:val="0"/>
        </w:rPr>
      </w:r>
    </w:p>
    <w:p w:rsidR="00000000" w:rsidDel="00000000" w:rsidP="00000000" w:rsidRDefault="00000000" w:rsidRPr="00000000" w14:paraId="0000009C">
      <w:pPr>
        <w:spacing w:line="240" w:lineRule="auto"/>
        <w:ind w:left="3600" w:firstLine="0"/>
        <w:rPr>
          <w:highlight w:val="green"/>
        </w:rPr>
      </w:pPr>
      <w:r w:rsidDel="00000000" w:rsidR="00000000" w:rsidRPr="00000000">
        <w:rPr>
          <w:rtl w:val="0"/>
        </w:rPr>
      </w:r>
    </w:p>
    <w:p w:rsidR="00000000" w:rsidDel="00000000" w:rsidP="00000000" w:rsidRDefault="00000000" w:rsidRPr="00000000" w14:paraId="0000009D">
      <w:pPr>
        <w:spacing w:line="240" w:lineRule="auto"/>
        <w:ind w:left="3600" w:firstLine="0"/>
        <w:rPr>
          <w:highlight w:val="green"/>
        </w:rPr>
      </w:pPr>
      <w:r w:rsidDel="00000000" w:rsidR="00000000" w:rsidRPr="00000000">
        <w:rPr>
          <w:rtl w:val="0"/>
        </w:rPr>
      </w:r>
    </w:p>
    <w:p w:rsidR="00000000" w:rsidDel="00000000" w:rsidP="00000000" w:rsidRDefault="00000000" w:rsidRPr="00000000" w14:paraId="0000009E">
      <w:pPr>
        <w:spacing w:line="240" w:lineRule="auto"/>
        <w:ind w:left="3600" w:firstLine="0"/>
        <w:rPr>
          <w:highlight w:val="green"/>
        </w:rPr>
      </w:pPr>
      <w:r w:rsidDel="00000000" w:rsidR="00000000" w:rsidRPr="00000000">
        <w:rPr>
          <w:rtl w:val="0"/>
        </w:rPr>
      </w:r>
    </w:p>
    <w:p w:rsidR="00000000" w:rsidDel="00000000" w:rsidP="00000000" w:rsidRDefault="00000000" w:rsidRPr="00000000" w14:paraId="0000009F">
      <w:pPr>
        <w:spacing w:line="240" w:lineRule="auto"/>
        <w:ind w:left="3600" w:firstLine="0"/>
        <w:rPr>
          <w:highlight w:val="green"/>
        </w:rPr>
      </w:pPr>
      <w:r w:rsidDel="00000000" w:rsidR="00000000" w:rsidRPr="00000000">
        <w:rPr>
          <w:rtl w:val="0"/>
        </w:rPr>
      </w:r>
    </w:p>
    <w:p w:rsidR="00000000" w:rsidDel="00000000" w:rsidP="00000000" w:rsidRDefault="00000000" w:rsidRPr="00000000" w14:paraId="000000A0">
      <w:pPr>
        <w:spacing w:line="240" w:lineRule="auto"/>
        <w:ind w:left="3600" w:firstLine="0"/>
        <w:rPr>
          <w:highlight w:val="green"/>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